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B5" w:rsidRDefault="00576B3B">
      <w:pPr>
        <w:jc w:val="center"/>
        <w:rPr>
          <w:rFonts w:ascii="仿宋" w:eastAsia="仿宋" w:hAnsi="仿宋"/>
          <w:b/>
          <w:sz w:val="32"/>
          <w:szCs w:val="32"/>
        </w:rPr>
      </w:pPr>
      <w:r>
        <w:rPr>
          <w:rFonts w:ascii="仿宋" w:eastAsia="仿宋" w:hAnsi="仿宋" w:hint="eastAsia"/>
          <w:b/>
          <w:sz w:val="32"/>
          <w:szCs w:val="32"/>
        </w:rPr>
        <w:t>福建省中医药科学院</w:t>
      </w:r>
      <w:r>
        <w:rPr>
          <w:rFonts w:ascii="仿宋" w:eastAsia="仿宋" w:hAnsi="仿宋"/>
          <w:b/>
          <w:sz w:val="32"/>
          <w:szCs w:val="32"/>
        </w:rPr>
        <w:t>院</w:t>
      </w:r>
      <w:r>
        <w:rPr>
          <w:rFonts w:ascii="仿宋" w:eastAsia="仿宋" w:hAnsi="仿宋" w:hint="eastAsia"/>
          <w:b/>
          <w:sz w:val="32"/>
          <w:szCs w:val="32"/>
        </w:rPr>
        <w:t>询价工作单</w:t>
      </w:r>
    </w:p>
    <w:p w:rsidR="00EA4FB5" w:rsidRDefault="00576B3B">
      <w:pPr>
        <w:ind w:firstLineChars="250" w:firstLine="525"/>
        <w:rPr>
          <w:rFonts w:ascii="仿宋" w:eastAsia="仿宋" w:hAnsi="仿宋"/>
          <w:szCs w:val="21"/>
        </w:rPr>
      </w:pPr>
      <w:r>
        <w:rPr>
          <w:rFonts w:ascii="仿宋" w:eastAsia="仿宋" w:hAnsi="仿宋" w:hint="eastAsia"/>
          <w:szCs w:val="21"/>
        </w:rPr>
        <w:t>公司名称（盖章）：</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3644"/>
        <w:gridCol w:w="1639"/>
        <w:gridCol w:w="968"/>
        <w:gridCol w:w="1800"/>
        <w:gridCol w:w="2747"/>
      </w:tblGrid>
      <w:tr w:rsidR="00EA4FB5">
        <w:trPr>
          <w:trHeight w:val="750"/>
        </w:trPr>
        <w:tc>
          <w:tcPr>
            <w:tcW w:w="1033" w:type="dxa"/>
            <w:vAlign w:val="center"/>
          </w:tcPr>
          <w:p w:rsidR="00EA4FB5" w:rsidRDefault="00576B3B">
            <w:pPr>
              <w:jc w:val="center"/>
              <w:rPr>
                <w:rFonts w:ascii="仿宋" w:eastAsia="仿宋" w:hAnsi="仿宋"/>
                <w:sz w:val="24"/>
              </w:rPr>
            </w:pPr>
            <w:r>
              <w:rPr>
                <w:rFonts w:ascii="仿宋" w:eastAsia="仿宋" w:hAnsi="仿宋" w:hint="eastAsia"/>
                <w:sz w:val="24"/>
              </w:rPr>
              <w:t>项目</w:t>
            </w:r>
          </w:p>
        </w:tc>
        <w:tc>
          <w:tcPr>
            <w:tcW w:w="3644" w:type="dxa"/>
            <w:vAlign w:val="center"/>
          </w:tcPr>
          <w:p w:rsidR="00EA4FB5" w:rsidRDefault="00576B3B">
            <w:pPr>
              <w:jc w:val="center"/>
              <w:rPr>
                <w:rFonts w:ascii="仿宋" w:eastAsia="仿宋" w:hAnsi="仿宋"/>
                <w:sz w:val="24"/>
              </w:rPr>
            </w:pPr>
            <w:r>
              <w:rPr>
                <w:rFonts w:ascii="仿宋" w:eastAsia="仿宋" w:hAnsi="仿宋" w:hint="eastAsia"/>
                <w:sz w:val="24"/>
              </w:rPr>
              <w:t>名称</w:t>
            </w:r>
          </w:p>
        </w:tc>
        <w:tc>
          <w:tcPr>
            <w:tcW w:w="1639" w:type="dxa"/>
            <w:vAlign w:val="center"/>
          </w:tcPr>
          <w:p w:rsidR="00EA4FB5" w:rsidRDefault="00576B3B">
            <w:pPr>
              <w:jc w:val="center"/>
              <w:rPr>
                <w:rFonts w:ascii="仿宋" w:eastAsia="仿宋" w:hAnsi="仿宋"/>
                <w:sz w:val="24"/>
              </w:rPr>
            </w:pPr>
            <w:r>
              <w:rPr>
                <w:rFonts w:ascii="仿宋" w:eastAsia="仿宋" w:hAnsi="仿宋" w:hint="eastAsia"/>
                <w:sz w:val="24"/>
              </w:rPr>
              <w:t>参考型号</w:t>
            </w:r>
          </w:p>
        </w:tc>
        <w:tc>
          <w:tcPr>
            <w:tcW w:w="968" w:type="dxa"/>
            <w:vAlign w:val="center"/>
          </w:tcPr>
          <w:p w:rsidR="00EA4FB5" w:rsidRDefault="00576B3B">
            <w:pPr>
              <w:jc w:val="center"/>
              <w:rPr>
                <w:rFonts w:ascii="仿宋" w:eastAsia="仿宋" w:hAnsi="仿宋"/>
                <w:sz w:val="24"/>
              </w:rPr>
            </w:pPr>
            <w:r>
              <w:rPr>
                <w:rFonts w:ascii="仿宋" w:eastAsia="仿宋" w:hAnsi="仿宋" w:hint="eastAsia"/>
                <w:sz w:val="24"/>
              </w:rPr>
              <w:t>数量</w:t>
            </w:r>
          </w:p>
        </w:tc>
        <w:tc>
          <w:tcPr>
            <w:tcW w:w="1800" w:type="dxa"/>
            <w:vAlign w:val="center"/>
          </w:tcPr>
          <w:p w:rsidR="00EA4FB5" w:rsidRDefault="00576B3B">
            <w:pPr>
              <w:jc w:val="center"/>
              <w:rPr>
                <w:rFonts w:ascii="仿宋" w:eastAsia="仿宋" w:hAnsi="仿宋"/>
                <w:sz w:val="24"/>
              </w:rPr>
            </w:pPr>
            <w:r>
              <w:rPr>
                <w:rFonts w:ascii="仿宋" w:eastAsia="仿宋" w:hAnsi="仿宋" w:hint="eastAsia"/>
                <w:sz w:val="24"/>
              </w:rPr>
              <w:t>价格</w:t>
            </w:r>
          </w:p>
          <w:p w:rsidR="00EA4FB5" w:rsidRDefault="00576B3B">
            <w:pPr>
              <w:jc w:val="center"/>
              <w:rPr>
                <w:rFonts w:ascii="仿宋" w:eastAsia="仿宋" w:hAnsi="仿宋"/>
                <w:sz w:val="24"/>
              </w:rPr>
            </w:pPr>
            <w:r>
              <w:rPr>
                <w:rFonts w:ascii="仿宋" w:eastAsia="仿宋" w:hAnsi="仿宋" w:hint="eastAsia"/>
                <w:sz w:val="24"/>
              </w:rPr>
              <w:t>（万元）</w:t>
            </w:r>
          </w:p>
        </w:tc>
        <w:tc>
          <w:tcPr>
            <w:tcW w:w="2747" w:type="dxa"/>
            <w:vAlign w:val="center"/>
          </w:tcPr>
          <w:p w:rsidR="00EA4FB5" w:rsidRDefault="00576B3B">
            <w:pPr>
              <w:jc w:val="center"/>
              <w:rPr>
                <w:rFonts w:ascii="仿宋" w:eastAsia="仿宋" w:hAnsi="仿宋"/>
                <w:sz w:val="24"/>
              </w:rPr>
            </w:pPr>
            <w:r>
              <w:rPr>
                <w:rFonts w:ascii="仿宋" w:eastAsia="仿宋" w:hAnsi="仿宋" w:hint="eastAsia"/>
                <w:sz w:val="24"/>
              </w:rPr>
              <w:t>备注</w:t>
            </w:r>
          </w:p>
        </w:tc>
      </w:tr>
      <w:tr w:rsidR="00EA4FB5">
        <w:trPr>
          <w:trHeight w:val="1026"/>
        </w:trPr>
        <w:tc>
          <w:tcPr>
            <w:tcW w:w="1033" w:type="dxa"/>
            <w:shd w:val="clear" w:color="auto" w:fill="auto"/>
            <w:vAlign w:val="center"/>
          </w:tcPr>
          <w:p w:rsidR="00EA4FB5" w:rsidRDefault="00576B3B">
            <w:pPr>
              <w:jc w:val="center"/>
              <w:rPr>
                <w:rFonts w:ascii="仿宋" w:eastAsia="仿宋" w:hAnsi="仿宋"/>
                <w:sz w:val="24"/>
              </w:rPr>
            </w:pPr>
            <w:bookmarkStart w:id="0" w:name="OLE_LINK6" w:colFirst="3" w:colLast="3"/>
            <w:bookmarkStart w:id="1" w:name="OLE_LINK3" w:colFirst="5" w:colLast="5"/>
            <w:bookmarkStart w:id="2" w:name="OLE_LINK5" w:colFirst="1" w:colLast="1"/>
            <w:bookmarkStart w:id="3" w:name="OLE_LINK7" w:colFirst="5" w:colLast="5"/>
            <w:bookmarkStart w:id="4" w:name="OLE_LINK11" w:colFirst="1" w:colLast="1"/>
            <w:r>
              <w:rPr>
                <w:rFonts w:ascii="仿宋" w:eastAsia="仿宋" w:hAnsi="仿宋" w:hint="eastAsia"/>
                <w:sz w:val="24"/>
              </w:rPr>
              <w:t>1</w:t>
            </w:r>
          </w:p>
        </w:tc>
        <w:tc>
          <w:tcPr>
            <w:tcW w:w="3644" w:type="dxa"/>
            <w:shd w:val="clear" w:color="FFFF00" w:fill="auto"/>
            <w:vAlign w:val="center"/>
          </w:tcPr>
          <w:p w:rsidR="00EA4FB5" w:rsidRDefault="00576B3B">
            <w:pPr>
              <w:jc w:val="center"/>
              <w:rPr>
                <w:rFonts w:ascii="仿宋" w:eastAsia="仿宋" w:hAnsi="仿宋"/>
                <w:sz w:val="24"/>
              </w:rPr>
            </w:pPr>
            <w:r>
              <w:rPr>
                <w:rFonts w:ascii="仿宋" w:eastAsia="仿宋" w:hAnsi="仿宋" w:hint="eastAsia"/>
                <w:sz w:val="24"/>
              </w:rPr>
              <w:t>大鼠骨髓单细胞转录组检测</w:t>
            </w:r>
          </w:p>
        </w:tc>
        <w:tc>
          <w:tcPr>
            <w:tcW w:w="1639" w:type="dxa"/>
            <w:shd w:val="clear" w:color="FFFF00" w:fill="auto"/>
            <w:vAlign w:val="center"/>
          </w:tcPr>
          <w:p w:rsidR="00EA4FB5" w:rsidRDefault="00576B3B">
            <w:pPr>
              <w:jc w:val="center"/>
              <w:rPr>
                <w:rFonts w:ascii="仿宋" w:eastAsia="仿宋" w:hAnsi="仿宋"/>
                <w:sz w:val="24"/>
              </w:rPr>
            </w:pPr>
            <w:r>
              <w:rPr>
                <w:rFonts w:ascii="仿宋" w:eastAsia="仿宋" w:hAnsi="仿宋" w:hint="eastAsia"/>
                <w:sz w:val="24"/>
              </w:rPr>
              <w:t>10</w:t>
            </w:r>
            <w:r>
              <w:rPr>
                <w:rFonts w:ascii="Arial" w:eastAsia="仿宋" w:hAnsi="Arial" w:cs="Arial"/>
                <w:sz w:val="24"/>
              </w:rPr>
              <w:t>×</w:t>
            </w:r>
            <w:r>
              <w:rPr>
                <w:rFonts w:ascii="仿宋" w:eastAsia="仿宋" w:hAnsi="仿宋" w:hint="eastAsia"/>
                <w:sz w:val="24"/>
              </w:rPr>
              <w:t>genomics</w:t>
            </w:r>
          </w:p>
        </w:tc>
        <w:tc>
          <w:tcPr>
            <w:tcW w:w="968" w:type="dxa"/>
            <w:shd w:val="clear" w:color="FFFF00" w:fill="auto"/>
            <w:vAlign w:val="center"/>
          </w:tcPr>
          <w:p w:rsidR="00EA4FB5" w:rsidRDefault="00576B3B">
            <w:pPr>
              <w:jc w:val="center"/>
              <w:rPr>
                <w:rFonts w:ascii="仿宋" w:eastAsia="仿宋" w:hAnsi="仿宋"/>
                <w:sz w:val="24"/>
              </w:rPr>
            </w:pPr>
            <w:r>
              <w:rPr>
                <w:rFonts w:ascii="仿宋" w:eastAsia="仿宋" w:hAnsi="仿宋" w:hint="eastAsia"/>
                <w:sz w:val="24"/>
              </w:rPr>
              <w:t>9</w:t>
            </w:r>
          </w:p>
        </w:tc>
        <w:tc>
          <w:tcPr>
            <w:tcW w:w="1800" w:type="dxa"/>
            <w:vAlign w:val="center"/>
          </w:tcPr>
          <w:p w:rsidR="00EA4FB5" w:rsidRDefault="00EA4FB5">
            <w:pPr>
              <w:jc w:val="center"/>
              <w:rPr>
                <w:rFonts w:ascii="仿宋" w:eastAsia="仿宋" w:hAnsi="仿宋"/>
                <w:sz w:val="24"/>
              </w:rPr>
            </w:pPr>
          </w:p>
        </w:tc>
        <w:tc>
          <w:tcPr>
            <w:tcW w:w="2747" w:type="dxa"/>
            <w:vAlign w:val="center"/>
          </w:tcPr>
          <w:p w:rsidR="00EA4FB5" w:rsidRDefault="00576B3B">
            <w:pPr>
              <w:jc w:val="center"/>
              <w:rPr>
                <w:rFonts w:ascii="仿宋" w:eastAsia="仿宋" w:hAnsi="仿宋"/>
                <w:sz w:val="24"/>
              </w:rPr>
            </w:pPr>
            <w:r>
              <w:rPr>
                <w:rFonts w:ascii="仿宋" w:eastAsia="仿宋" w:hAnsi="仿宋" w:hint="eastAsia"/>
                <w:sz w:val="24"/>
              </w:rPr>
              <w:t>详见附件</w:t>
            </w:r>
          </w:p>
        </w:tc>
      </w:tr>
      <w:tr w:rsidR="00EA4FB5">
        <w:trPr>
          <w:trHeight w:val="719"/>
        </w:trPr>
        <w:tc>
          <w:tcPr>
            <w:tcW w:w="1033" w:type="dxa"/>
            <w:shd w:val="clear" w:color="auto" w:fill="auto"/>
            <w:vAlign w:val="center"/>
          </w:tcPr>
          <w:p w:rsidR="00EA4FB5" w:rsidRDefault="00EA4FB5">
            <w:pPr>
              <w:jc w:val="center"/>
              <w:rPr>
                <w:rFonts w:ascii="仿宋" w:eastAsia="仿宋" w:hAnsi="仿宋"/>
                <w:sz w:val="24"/>
              </w:rPr>
            </w:pPr>
          </w:p>
        </w:tc>
        <w:tc>
          <w:tcPr>
            <w:tcW w:w="3644" w:type="dxa"/>
            <w:shd w:val="clear" w:color="FFFF00" w:fill="auto"/>
            <w:vAlign w:val="center"/>
          </w:tcPr>
          <w:p w:rsidR="00EA4FB5" w:rsidRDefault="00EA4FB5">
            <w:pPr>
              <w:jc w:val="center"/>
              <w:rPr>
                <w:rFonts w:ascii="仿宋" w:eastAsia="仿宋" w:hAnsi="仿宋"/>
                <w:sz w:val="24"/>
              </w:rPr>
            </w:pPr>
          </w:p>
        </w:tc>
        <w:tc>
          <w:tcPr>
            <w:tcW w:w="1639" w:type="dxa"/>
            <w:shd w:val="clear" w:color="FFFF00" w:fill="auto"/>
            <w:vAlign w:val="center"/>
          </w:tcPr>
          <w:p w:rsidR="00EA4FB5" w:rsidRDefault="00EA4FB5">
            <w:pPr>
              <w:jc w:val="center"/>
              <w:rPr>
                <w:rFonts w:ascii="仿宋" w:eastAsia="仿宋" w:hAnsi="仿宋"/>
                <w:sz w:val="24"/>
              </w:rPr>
            </w:pPr>
          </w:p>
        </w:tc>
        <w:tc>
          <w:tcPr>
            <w:tcW w:w="968" w:type="dxa"/>
            <w:shd w:val="clear" w:color="FFFF00" w:fill="auto"/>
            <w:vAlign w:val="center"/>
          </w:tcPr>
          <w:p w:rsidR="00EA4FB5" w:rsidRDefault="00EA4FB5">
            <w:pPr>
              <w:jc w:val="center"/>
              <w:rPr>
                <w:rFonts w:ascii="仿宋" w:eastAsia="仿宋" w:hAnsi="仿宋"/>
                <w:sz w:val="24"/>
              </w:rPr>
            </w:pPr>
          </w:p>
        </w:tc>
        <w:tc>
          <w:tcPr>
            <w:tcW w:w="1800" w:type="dxa"/>
            <w:vAlign w:val="center"/>
          </w:tcPr>
          <w:p w:rsidR="00EA4FB5" w:rsidRDefault="00EA4FB5">
            <w:pPr>
              <w:jc w:val="center"/>
              <w:rPr>
                <w:rFonts w:ascii="仿宋" w:eastAsia="仿宋" w:hAnsi="仿宋"/>
                <w:sz w:val="24"/>
              </w:rPr>
            </w:pPr>
          </w:p>
        </w:tc>
        <w:tc>
          <w:tcPr>
            <w:tcW w:w="2747" w:type="dxa"/>
            <w:vAlign w:val="center"/>
          </w:tcPr>
          <w:p w:rsidR="00EA4FB5" w:rsidRDefault="00EA4FB5">
            <w:pPr>
              <w:jc w:val="center"/>
              <w:rPr>
                <w:rFonts w:ascii="仿宋" w:eastAsia="仿宋" w:hAnsi="仿宋"/>
                <w:sz w:val="24"/>
              </w:rPr>
            </w:pPr>
          </w:p>
        </w:tc>
      </w:tr>
      <w:tr w:rsidR="00EA4FB5">
        <w:trPr>
          <w:trHeight w:val="549"/>
        </w:trPr>
        <w:tc>
          <w:tcPr>
            <w:tcW w:w="1033" w:type="dxa"/>
            <w:shd w:val="clear" w:color="auto" w:fill="auto"/>
            <w:vAlign w:val="center"/>
          </w:tcPr>
          <w:p w:rsidR="00EA4FB5" w:rsidRDefault="00EA4FB5">
            <w:pPr>
              <w:jc w:val="center"/>
              <w:rPr>
                <w:rFonts w:ascii="仿宋" w:eastAsia="仿宋" w:hAnsi="仿宋"/>
                <w:szCs w:val="21"/>
              </w:rPr>
            </w:pPr>
          </w:p>
        </w:tc>
        <w:tc>
          <w:tcPr>
            <w:tcW w:w="3644" w:type="dxa"/>
            <w:shd w:val="clear" w:color="FFFF00" w:fill="auto"/>
            <w:vAlign w:val="center"/>
          </w:tcPr>
          <w:p w:rsidR="00EA4FB5" w:rsidRDefault="00EA4FB5">
            <w:pPr>
              <w:jc w:val="center"/>
              <w:rPr>
                <w:rFonts w:ascii="仿宋" w:eastAsia="仿宋" w:hAnsi="仿宋"/>
                <w:szCs w:val="21"/>
              </w:rPr>
            </w:pPr>
          </w:p>
        </w:tc>
        <w:tc>
          <w:tcPr>
            <w:tcW w:w="1639" w:type="dxa"/>
            <w:shd w:val="clear" w:color="FFFF00" w:fill="auto"/>
            <w:vAlign w:val="center"/>
          </w:tcPr>
          <w:p w:rsidR="00EA4FB5" w:rsidRDefault="00EA4FB5">
            <w:pPr>
              <w:jc w:val="center"/>
              <w:rPr>
                <w:rFonts w:ascii="仿宋" w:eastAsia="仿宋" w:hAnsi="仿宋"/>
                <w:szCs w:val="21"/>
              </w:rPr>
            </w:pPr>
          </w:p>
        </w:tc>
        <w:tc>
          <w:tcPr>
            <w:tcW w:w="968" w:type="dxa"/>
            <w:shd w:val="clear" w:color="FFFF00" w:fill="auto"/>
            <w:vAlign w:val="center"/>
          </w:tcPr>
          <w:p w:rsidR="00EA4FB5" w:rsidRDefault="00EA4FB5">
            <w:pPr>
              <w:jc w:val="center"/>
              <w:rPr>
                <w:rFonts w:ascii="仿宋" w:eastAsia="仿宋" w:hAnsi="仿宋"/>
                <w:szCs w:val="21"/>
              </w:rPr>
            </w:pPr>
          </w:p>
        </w:tc>
        <w:tc>
          <w:tcPr>
            <w:tcW w:w="1800" w:type="dxa"/>
            <w:vAlign w:val="center"/>
          </w:tcPr>
          <w:p w:rsidR="00EA4FB5" w:rsidRDefault="00EA4FB5">
            <w:pPr>
              <w:jc w:val="center"/>
              <w:rPr>
                <w:rFonts w:ascii="仿宋" w:eastAsia="仿宋" w:hAnsi="仿宋"/>
                <w:szCs w:val="21"/>
              </w:rPr>
            </w:pPr>
          </w:p>
        </w:tc>
        <w:tc>
          <w:tcPr>
            <w:tcW w:w="2747" w:type="dxa"/>
            <w:vAlign w:val="center"/>
          </w:tcPr>
          <w:p w:rsidR="00EA4FB5" w:rsidRDefault="00EA4FB5">
            <w:pPr>
              <w:jc w:val="center"/>
              <w:rPr>
                <w:rFonts w:ascii="仿宋" w:eastAsia="仿宋" w:hAnsi="仿宋"/>
                <w:szCs w:val="21"/>
              </w:rPr>
            </w:pPr>
          </w:p>
        </w:tc>
      </w:tr>
      <w:tr w:rsidR="00EA4FB5">
        <w:trPr>
          <w:trHeight w:val="500"/>
        </w:trPr>
        <w:tc>
          <w:tcPr>
            <w:tcW w:w="1033" w:type="dxa"/>
            <w:shd w:val="clear" w:color="auto" w:fill="auto"/>
            <w:vAlign w:val="center"/>
          </w:tcPr>
          <w:p w:rsidR="00EA4FB5" w:rsidRDefault="00EA4FB5">
            <w:pPr>
              <w:jc w:val="center"/>
              <w:rPr>
                <w:rFonts w:ascii="仿宋" w:eastAsia="仿宋" w:hAnsi="仿宋"/>
                <w:szCs w:val="21"/>
              </w:rPr>
            </w:pPr>
          </w:p>
        </w:tc>
        <w:tc>
          <w:tcPr>
            <w:tcW w:w="3644" w:type="dxa"/>
            <w:shd w:val="clear" w:color="FFFF00" w:fill="auto"/>
            <w:vAlign w:val="center"/>
          </w:tcPr>
          <w:p w:rsidR="00EA4FB5" w:rsidRDefault="00EA4FB5">
            <w:pPr>
              <w:jc w:val="center"/>
              <w:rPr>
                <w:rFonts w:ascii="仿宋" w:eastAsia="仿宋" w:hAnsi="仿宋"/>
                <w:szCs w:val="21"/>
              </w:rPr>
            </w:pPr>
          </w:p>
        </w:tc>
        <w:tc>
          <w:tcPr>
            <w:tcW w:w="1639" w:type="dxa"/>
            <w:shd w:val="clear" w:color="FFFF00" w:fill="auto"/>
            <w:vAlign w:val="center"/>
          </w:tcPr>
          <w:p w:rsidR="00EA4FB5" w:rsidRDefault="00EA4FB5">
            <w:pPr>
              <w:jc w:val="center"/>
              <w:rPr>
                <w:rFonts w:ascii="仿宋" w:eastAsia="仿宋" w:hAnsi="仿宋"/>
                <w:szCs w:val="21"/>
              </w:rPr>
            </w:pPr>
          </w:p>
        </w:tc>
        <w:tc>
          <w:tcPr>
            <w:tcW w:w="968" w:type="dxa"/>
            <w:shd w:val="clear" w:color="FFFF00" w:fill="auto"/>
            <w:vAlign w:val="center"/>
          </w:tcPr>
          <w:p w:rsidR="00EA4FB5" w:rsidRDefault="00EA4FB5">
            <w:pPr>
              <w:jc w:val="center"/>
              <w:rPr>
                <w:rFonts w:ascii="仿宋" w:eastAsia="仿宋" w:hAnsi="仿宋"/>
                <w:bCs/>
                <w:szCs w:val="21"/>
              </w:rPr>
            </w:pPr>
          </w:p>
        </w:tc>
        <w:tc>
          <w:tcPr>
            <w:tcW w:w="1800" w:type="dxa"/>
            <w:vAlign w:val="center"/>
          </w:tcPr>
          <w:p w:rsidR="00EA4FB5" w:rsidRDefault="00EA4FB5">
            <w:pPr>
              <w:jc w:val="center"/>
              <w:rPr>
                <w:rFonts w:ascii="仿宋" w:eastAsia="仿宋" w:hAnsi="仿宋"/>
                <w:szCs w:val="21"/>
              </w:rPr>
            </w:pPr>
          </w:p>
        </w:tc>
        <w:tc>
          <w:tcPr>
            <w:tcW w:w="2747" w:type="dxa"/>
            <w:vAlign w:val="center"/>
          </w:tcPr>
          <w:p w:rsidR="00EA4FB5" w:rsidRDefault="00EA4FB5">
            <w:pPr>
              <w:jc w:val="center"/>
              <w:rPr>
                <w:rFonts w:ascii="仿宋" w:eastAsia="仿宋" w:hAnsi="仿宋"/>
                <w:szCs w:val="21"/>
              </w:rPr>
            </w:pPr>
          </w:p>
        </w:tc>
      </w:tr>
      <w:tr w:rsidR="00EA4FB5">
        <w:trPr>
          <w:trHeight w:val="500"/>
        </w:trPr>
        <w:tc>
          <w:tcPr>
            <w:tcW w:w="1033" w:type="dxa"/>
            <w:shd w:val="clear" w:color="auto" w:fill="auto"/>
            <w:vAlign w:val="center"/>
          </w:tcPr>
          <w:p w:rsidR="00EA4FB5" w:rsidRDefault="00EA4FB5">
            <w:pPr>
              <w:jc w:val="center"/>
              <w:rPr>
                <w:rFonts w:ascii="仿宋" w:eastAsia="仿宋" w:hAnsi="仿宋"/>
                <w:szCs w:val="21"/>
              </w:rPr>
            </w:pPr>
          </w:p>
        </w:tc>
        <w:tc>
          <w:tcPr>
            <w:tcW w:w="3644" w:type="dxa"/>
            <w:shd w:val="clear" w:color="FFFF00" w:fill="auto"/>
            <w:vAlign w:val="center"/>
          </w:tcPr>
          <w:p w:rsidR="00EA4FB5" w:rsidRDefault="00EA4FB5">
            <w:pPr>
              <w:jc w:val="center"/>
              <w:rPr>
                <w:rFonts w:ascii="仿宋" w:eastAsia="仿宋" w:hAnsi="仿宋"/>
                <w:szCs w:val="21"/>
              </w:rPr>
            </w:pPr>
          </w:p>
        </w:tc>
        <w:tc>
          <w:tcPr>
            <w:tcW w:w="1639" w:type="dxa"/>
            <w:shd w:val="clear" w:color="FFFF00" w:fill="auto"/>
            <w:vAlign w:val="center"/>
          </w:tcPr>
          <w:p w:rsidR="00EA4FB5" w:rsidRDefault="00EA4FB5">
            <w:pPr>
              <w:jc w:val="center"/>
              <w:rPr>
                <w:rFonts w:ascii="仿宋" w:eastAsia="仿宋" w:hAnsi="仿宋"/>
                <w:szCs w:val="21"/>
              </w:rPr>
            </w:pPr>
          </w:p>
        </w:tc>
        <w:tc>
          <w:tcPr>
            <w:tcW w:w="968" w:type="dxa"/>
            <w:shd w:val="clear" w:color="FFFF00" w:fill="auto"/>
            <w:vAlign w:val="center"/>
          </w:tcPr>
          <w:p w:rsidR="00EA4FB5" w:rsidRDefault="00EA4FB5">
            <w:pPr>
              <w:jc w:val="center"/>
              <w:rPr>
                <w:rFonts w:ascii="仿宋" w:eastAsia="仿宋" w:hAnsi="仿宋"/>
                <w:bCs/>
                <w:szCs w:val="21"/>
              </w:rPr>
            </w:pPr>
          </w:p>
        </w:tc>
        <w:tc>
          <w:tcPr>
            <w:tcW w:w="1800" w:type="dxa"/>
            <w:vAlign w:val="center"/>
          </w:tcPr>
          <w:p w:rsidR="00EA4FB5" w:rsidRDefault="00EA4FB5">
            <w:pPr>
              <w:jc w:val="center"/>
              <w:rPr>
                <w:rFonts w:ascii="仿宋" w:eastAsia="仿宋" w:hAnsi="仿宋"/>
                <w:szCs w:val="21"/>
              </w:rPr>
            </w:pPr>
          </w:p>
        </w:tc>
        <w:tc>
          <w:tcPr>
            <w:tcW w:w="2747" w:type="dxa"/>
            <w:vAlign w:val="center"/>
          </w:tcPr>
          <w:p w:rsidR="00EA4FB5" w:rsidRDefault="00EA4FB5">
            <w:pPr>
              <w:jc w:val="center"/>
              <w:rPr>
                <w:rFonts w:ascii="仿宋" w:eastAsia="仿宋" w:hAnsi="仿宋"/>
                <w:szCs w:val="21"/>
              </w:rPr>
            </w:pPr>
          </w:p>
        </w:tc>
      </w:tr>
      <w:bookmarkEnd w:id="0"/>
      <w:bookmarkEnd w:id="1"/>
      <w:bookmarkEnd w:id="2"/>
      <w:bookmarkEnd w:id="3"/>
      <w:bookmarkEnd w:id="4"/>
      <w:tr w:rsidR="00EA4FB5">
        <w:trPr>
          <w:trHeight w:val="690"/>
        </w:trPr>
        <w:tc>
          <w:tcPr>
            <w:tcW w:w="7284" w:type="dxa"/>
            <w:gridSpan w:val="4"/>
            <w:vAlign w:val="center"/>
          </w:tcPr>
          <w:p w:rsidR="00EA4FB5" w:rsidRDefault="00576B3B">
            <w:pPr>
              <w:jc w:val="center"/>
              <w:rPr>
                <w:rFonts w:ascii="仿宋" w:eastAsia="仿宋" w:hAnsi="仿宋"/>
                <w:szCs w:val="21"/>
              </w:rPr>
            </w:pPr>
            <w:r>
              <w:rPr>
                <w:rFonts w:ascii="仿宋" w:eastAsia="仿宋" w:hAnsi="仿宋" w:hint="eastAsia"/>
                <w:szCs w:val="21"/>
              </w:rPr>
              <w:t>合  计</w:t>
            </w:r>
          </w:p>
        </w:tc>
        <w:tc>
          <w:tcPr>
            <w:tcW w:w="1800" w:type="dxa"/>
            <w:vAlign w:val="center"/>
          </w:tcPr>
          <w:p w:rsidR="00EA4FB5" w:rsidRDefault="00EA4FB5">
            <w:pPr>
              <w:jc w:val="center"/>
              <w:rPr>
                <w:rFonts w:ascii="仿宋" w:eastAsia="仿宋" w:hAnsi="仿宋"/>
                <w:szCs w:val="21"/>
              </w:rPr>
            </w:pPr>
            <w:bookmarkStart w:id="5" w:name="_GoBack"/>
            <w:bookmarkEnd w:id="5"/>
          </w:p>
        </w:tc>
        <w:tc>
          <w:tcPr>
            <w:tcW w:w="2747" w:type="dxa"/>
            <w:vAlign w:val="center"/>
          </w:tcPr>
          <w:p w:rsidR="00EA4FB5" w:rsidRDefault="00EA4FB5">
            <w:pPr>
              <w:jc w:val="center"/>
              <w:rPr>
                <w:rFonts w:ascii="仿宋" w:eastAsia="仿宋" w:hAnsi="仿宋"/>
                <w:szCs w:val="21"/>
              </w:rPr>
            </w:pPr>
          </w:p>
        </w:tc>
      </w:tr>
    </w:tbl>
    <w:p w:rsidR="00EA4FB5" w:rsidRDefault="00576B3B">
      <w:pPr>
        <w:rPr>
          <w:rFonts w:ascii="仿宋" w:eastAsia="仿宋" w:hAnsi="仿宋"/>
          <w:szCs w:val="21"/>
        </w:rPr>
      </w:pPr>
      <w:r>
        <w:rPr>
          <w:rFonts w:ascii="仿宋" w:eastAsia="仿宋" w:hAnsi="仿宋" w:hint="eastAsia"/>
          <w:szCs w:val="21"/>
        </w:rPr>
        <w:t xml:space="preserve">         联系人：                                    联系电话：</w:t>
      </w:r>
    </w:p>
    <w:p w:rsidR="00EA4FB5" w:rsidRDefault="00576B3B">
      <w:pPr>
        <w:rPr>
          <w:rFonts w:ascii="仿宋" w:eastAsia="仿宋" w:hAnsi="仿宋"/>
          <w:szCs w:val="21"/>
        </w:rPr>
      </w:pPr>
      <w:r>
        <w:rPr>
          <w:rFonts w:ascii="仿宋" w:eastAsia="仿宋" w:hAnsi="仿宋" w:hint="eastAsia"/>
          <w:szCs w:val="21"/>
        </w:rPr>
        <w:t>1、询价会报名截止时间为</w:t>
      </w:r>
      <w:r>
        <w:rPr>
          <w:rFonts w:ascii="仿宋" w:eastAsia="仿宋" w:hAnsi="仿宋"/>
          <w:szCs w:val="21"/>
        </w:rPr>
        <w:t>20</w:t>
      </w:r>
      <w:r>
        <w:rPr>
          <w:rFonts w:ascii="仿宋" w:eastAsia="仿宋" w:hAnsi="仿宋" w:hint="eastAsia"/>
          <w:szCs w:val="21"/>
        </w:rPr>
        <w:t>24</w:t>
      </w:r>
      <w:r>
        <w:rPr>
          <w:rFonts w:ascii="仿宋" w:eastAsia="仿宋" w:hAnsi="仿宋"/>
          <w:szCs w:val="21"/>
        </w:rPr>
        <w:t>年</w:t>
      </w:r>
      <w:r w:rsidR="00991D38">
        <w:rPr>
          <w:rFonts w:ascii="仿宋" w:eastAsia="仿宋" w:hAnsi="仿宋"/>
          <w:szCs w:val="21"/>
        </w:rPr>
        <w:t>10</w:t>
      </w:r>
      <w:r>
        <w:rPr>
          <w:rFonts w:ascii="仿宋" w:eastAsia="仿宋" w:hAnsi="仿宋"/>
          <w:szCs w:val="21"/>
        </w:rPr>
        <w:t>月</w:t>
      </w:r>
      <w:r w:rsidR="00991D38">
        <w:rPr>
          <w:rFonts w:ascii="仿宋" w:eastAsia="仿宋" w:hAnsi="仿宋"/>
          <w:szCs w:val="21"/>
        </w:rPr>
        <w:t>11</w:t>
      </w:r>
      <w:r>
        <w:rPr>
          <w:rFonts w:ascii="仿宋" w:eastAsia="仿宋" w:hAnsi="仿宋"/>
          <w:szCs w:val="21"/>
        </w:rPr>
        <w:t>日</w:t>
      </w:r>
      <w:r>
        <w:rPr>
          <w:rFonts w:ascii="仿宋" w:eastAsia="仿宋" w:hAnsi="仿宋" w:hint="eastAsia"/>
          <w:szCs w:val="21"/>
        </w:rPr>
        <w:t xml:space="preserve"> 。</w:t>
      </w:r>
    </w:p>
    <w:p w:rsidR="00AF2230" w:rsidRDefault="00AF2230" w:rsidP="00AF2230">
      <w:pPr>
        <w:rPr>
          <w:rFonts w:ascii="仿宋" w:eastAsia="仿宋" w:hAnsi="仿宋"/>
          <w:szCs w:val="21"/>
        </w:rPr>
      </w:pPr>
      <w:r>
        <w:rPr>
          <w:rFonts w:ascii="仿宋" w:eastAsia="仿宋" w:hAnsi="仿宋" w:hint="eastAsia"/>
          <w:szCs w:val="21"/>
        </w:rPr>
        <w:t>2、拟参与询价公司要提供详细的名称、规格、技术指标及供货时间</w:t>
      </w:r>
    </w:p>
    <w:p w:rsidR="00AF2230" w:rsidRDefault="00AF2230" w:rsidP="00AF2230">
      <w:pPr>
        <w:rPr>
          <w:rFonts w:ascii="仿宋" w:eastAsia="仿宋" w:hAnsi="仿宋"/>
          <w:szCs w:val="21"/>
        </w:rPr>
      </w:pPr>
      <w:r>
        <w:rPr>
          <w:rFonts w:ascii="仿宋" w:eastAsia="仿宋" w:hAnsi="仿宋" w:hint="eastAsia"/>
          <w:szCs w:val="21"/>
        </w:rPr>
        <w:t>3、询价单需要盖章扫描件一份</w:t>
      </w:r>
    </w:p>
    <w:p w:rsidR="00991D38" w:rsidRDefault="00991D38">
      <w:pPr>
        <w:rPr>
          <w:rFonts w:ascii="仿宋" w:eastAsia="仿宋" w:hAnsi="仿宋"/>
          <w:b/>
          <w:szCs w:val="21"/>
        </w:rPr>
      </w:pPr>
    </w:p>
    <w:p w:rsidR="00AF2230" w:rsidRDefault="00AF2230">
      <w:pPr>
        <w:rPr>
          <w:rFonts w:ascii="仿宋" w:eastAsia="仿宋" w:hAnsi="仿宋"/>
          <w:b/>
          <w:szCs w:val="21"/>
        </w:rPr>
      </w:pPr>
    </w:p>
    <w:p w:rsidR="00AF2230" w:rsidRPr="00AF2230" w:rsidRDefault="00AF2230">
      <w:pPr>
        <w:rPr>
          <w:rFonts w:ascii="仿宋" w:eastAsia="仿宋" w:hAnsi="仿宋"/>
          <w:b/>
          <w:szCs w:val="21"/>
        </w:rPr>
      </w:pPr>
    </w:p>
    <w:p w:rsidR="00991D38" w:rsidRDefault="00991D38">
      <w:pPr>
        <w:rPr>
          <w:rFonts w:ascii="仿宋" w:eastAsia="仿宋" w:hAnsi="仿宋"/>
          <w:b/>
          <w:szCs w:val="21"/>
        </w:rPr>
      </w:pPr>
    </w:p>
    <w:p w:rsidR="00EA4FB5" w:rsidRDefault="00EA4FB5">
      <w:pPr>
        <w:rPr>
          <w:rFonts w:ascii="仿宋" w:eastAsia="仿宋" w:hAnsi="仿宋"/>
          <w:color w:val="000000"/>
          <w:szCs w:val="21"/>
        </w:rPr>
      </w:pPr>
    </w:p>
    <w:p w:rsidR="00EA4FB5" w:rsidRDefault="00576B3B">
      <w:pPr>
        <w:jc w:val="center"/>
        <w:rPr>
          <w:rFonts w:ascii="仿宋" w:eastAsia="仿宋" w:hAnsi="仿宋"/>
          <w:color w:val="000000"/>
          <w:sz w:val="28"/>
          <w:szCs w:val="28"/>
        </w:rPr>
      </w:pPr>
      <w:r>
        <w:rPr>
          <w:rFonts w:ascii="仿宋" w:eastAsia="仿宋" w:hAnsi="仿宋" w:hint="eastAsia"/>
          <w:color w:val="000000"/>
          <w:sz w:val="28"/>
          <w:szCs w:val="28"/>
        </w:rPr>
        <w:lastRenderedPageBreak/>
        <w:t>技术规格偏离表</w:t>
      </w:r>
    </w:p>
    <w:p w:rsidR="00EA4FB5" w:rsidRDefault="00576B3B">
      <w:pPr>
        <w:tabs>
          <w:tab w:val="left" w:pos="5355"/>
        </w:tabs>
        <w:rPr>
          <w:rFonts w:ascii="仿宋" w:eastAsia="仿宋" w:hAnsi="仿宋"/>
          <w:color w:val="000000"/>
          <w:szCs w:val="21"/>
        </w:rPr>
      </w:pPr>
      <w:r>
        <w:rPr>
          <w:rFonts w:ascii="仿宋" w:eastAsia="仿宋" w:hAnsi="仿宋" w:hint="eastAsia"/>
          <w:color w:val="000000"/>
          <w:szCs w:val="21"/>
        </w:rPr>
        <w:t>报价方名称（全称）：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262"/>
        <w:gridCol w:w="4262"/>
        <w:gridCol w:w="4262"/>
      </w:tblGrid>
      <w:tr w:rsidR="00EA4FB5">
        <w:trPr>
          <w:cantSplit/>
          <w:trHeight w:val="565"/>
          <w:jc w:val="center"/>
        </w:trPr>
        <w:tc>
          <w:tcPr>
            <w:tcW w:w="649" w:type="dxa"/>
            <w:vAlign w:val="center"/>
          </w:tcPr>
          <w:p w:rsidR="00EA4FB5" w:rsidRDefault="00576B3B">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序号</w:t>
            </w:r>
          </w:p>
        </w:tc>
        <w:tc>
          <w:tcPr>
            <w:tcW w:w="4262" w:type="dxa"/>
            <w:vAlign w:val="center"/>
          </w:tcPr>
          <w:p w:rsidR="00EA4FB5" w:rsidRDefault="00576B3B">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技 术 要 求</w:t>
            </w:r>
          </w:p>
        </w:tc>
        <w:tc>
          <w:tcPr>
            <w:tcW w:w="4262" w:type="dxa"/>
            <w:vAlign w:val="center"/>
          </w:tcPr>
          <w:p w:rsidR="00EA4FB5" w:rsidRDefault="00576B3B">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 xml:space="preserve"> 响 应 情 况</w:t>
            </w:r>
          </w:p>
        </w:tc>
        <w:tc>
          <w:tcPr>
            <w:tcW w:w="4262" w:type="dxa"/>
            <w:vAlign w:val="center"/>
          </w:tcPr>
          <w:p w:rsidR="00EA4FB5" w:rsidRDefault="00576B3B">
            <w:pPr>
              <w:tabs>
                <w:tab w:val="left" w:pos="5355"/>
              </w:tabs>
              <w:ind w:rightChars="-7" w:right="-15"/>
              <w:jc w:val="center"/>
              <w:rPr>
                <w:rFonts w:ascii="仿宋" w:eastAsia="仿宋" w:hAnsi="仿宋"/>
                <w:color w:val="000000"/>
                <w:spacing w:val="-10"/>
                <w:szCs w:val="21"/>
              </w:rPr>
            </w:pPr>
            <w:r>
              <w:rPr>
                <w:rFonts w:ascii="仿宋" w:eastAsia="仿宋" w:hAnsi="仿宋" w:hint="eastAsia"/>
                <w:color w:val="000000"/>
                <w:spacing w:val="-10"/>
                <w:szCs w:val="21"/>
              </w:rPr>
              <w:t>偏 离 说 明</w:t>
            </w: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jc w:val="center"/>
              <w:rPr>
                <w:rFonts w:ascii="仿宋" w:eastAsia="仿宋" w:hAnsi="仿宋"/>
                <w:color w:val="000000"/>
                <w:szCs w:val="21"/>
                <w:u w:val="single"/>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r w:rsidR="00EA4FB5">
        <w:trPr>
          <w:cantSplit/>
          <w:trHeight w:val="480"/>
          <w:jc w:val="center"/>
        </w:trPr>
        <w:tc>
          <w:tcPr>
            <w:tcW w:w="649" w:type="dxa"/>
            <w:vAlign w:val="center"/>
          </w:tcPr>
          <w:p w:rsidR="00EA4FB5" w:rsidRDefault="00EA4FB5">
            <w:pPr>
              <w:tabs>
                <w:tab w:val="left" w:pos="5355"/>
              </w:tabs>
              <w:jc w:val="center"/>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c>
          <w:tcPr>
            <w:tcW w:w="4262" w:type="dxa"/>
            <w:vAlign w:val="center"/>
          </w:tcPr>
          <w:p w:rsidR="00EA4FB5" w:rsidRDefault="00EA4FB5">
            <w:pPr>
              <w:tabs>
                <w:tab w:val="left" w:pos="5355"/>
              </w:tabs>
              <w:rPr>
                <w:rFonts w:ascii="仿宋" w:eastAsia="仿宋" w:hAnsi="仿宋"/>
                <w:color w:val="000000"/>
                <w:szCs w:val="21"/>
              </w:rPr>
            </w:pPr>
          </w:p>
        </w:tc>
      </w:tr>
    </w:tbl>
    <w:p w:rsidR="00EA4FB5" w:rsidRDefault="00EA4FB5">
      <w:pPr>
        <w:rPr>
          <w:rFonts w:ascii="仿宋" w:eastAsia="仿宋" w:hAnsi="仿宋"/>
          <w:szCs w:val="21"/>
        </w:rPr>
      </w:pPr>
    </w:p>
    <w:p w:rsidR="00EA4FB5" w:rsidRDefault="00EA4FB5">
      <w:pPr>
        <w:rPr>
          <w:rFonts w:ascii="仿宋" w:eastAsia="仿宋" w:hAnsi="仿宋"/>
          <w:szCs w:val="21"/>
        </w:rPr>
      </w:pPr>
    </w:p>
    <w:p w:rsidR="00EA4FB5" w:rsidRDefault="00EA4FB5">
      <w:pPr>
        <w:spacing w:beforeLines="50" w:before="156" w:afterLines="50" w:after="156" w:line="560" w:lineRule="exact"/>
        <w:jc w:val="center"/>
        <w:rPr>
          <w:rFonts w:ascii="宋体" w:eastAsia="宋体" w:hAnsi="宋体" w:cs="宋体"/>
          <w:b/>
          <w:bCs/>
          <w:sz w:val="36"/>
          <w:szCs w:val="44"/>
        </w:rPr>
      </w:pPr>
    </w:p>
    <w:p w:rsidR="00EA4FB5" w:rsidRDefault="00EA4FB5">
      <w:pPr>
        <w:widowControl/>
        <w:jc w:val="left"/>
        <w:rPr>
          <w:rFonts w:ascii="宋体" w:eastAsia="宋体" w:hAnsi="宋体" w:cs="宋体"/>
          <w:b/>
          <w:bCs/>
          <w:sz w:val="36"/>
          <w:szCs w:val="44"/>
        </w:rPr>
        <w:sectPr w:rsidR="00EA4FB5">
          <w:pgSz w:w="16838" w:h="11906" w:orient="landscape"/>
          <w:pgMar w:top="1531" w:right="1418" w:bottom="1531" w:left="1418" w:header="851" w:footer="992" w:gutter="0"/>
          <w:cols w:space="425"/>
          <w:docGrid w:type="linesAndChars" w:linePitch="312"/>
        </w:sectPr>
      </w:pPr>
    </w:p>
    <w:p w:rsidR="00EA4FB5" w:rsidRDefault="00576B3B">
      <w:pPr>
        <w:spacing w:line="560" w:lineRule="exact"/>
        <w:rPr>
          <w:rFonts w:ascii="宋体" w:eastAsia="宋体" w:hAnsi="宋体" w:cs="宋体"/>
          <w:b/>
          <w:bCs/>
          <w:sz w:val="28"/>
          <w:szCs w:val="28"/>
        </w:rPr>
      </w:pPr>
      <w:r>
        <w:rPr>
          <w:rFonts w:ascii="宋体" w:eastAsia="宋体" w:hAnsi="宋体" w:cs="宋体" w:hint="eastAsia"/>
          <w:b/>
          <w:bCs/>
          <w:sz w:val="28"/>
          <w:szCs w:val="28"/>
        </w:rPr>
        <w:lastRenderedPageBreak/>
        <w:t>附件</w:t>
      </w:r>
      <w:r>
        <w:rPr>
          <w:rFonts w:ascii="宋体" w:eastAsia="宋体" w:hAnsi="宋体" w:cs="宋体"/>
          <w:b/>
          <w:bCs/>
          <w:sz w:val="28"/>
          <w:szCs w:val="28"/>
        </w:rPr>
        <w:t>：</w:t>
      </w:r>
    </w:p>
    <w:p w:rsidR="00EA4FB5" w:rsidRDefault="00576B3B">
      <w:pPr>
        <w:rPr>
          <w:b/>
          <w:bCs/>
        </w:rPr>
      </w:pPr>
      <w:r>
        <w:rPr>
          <w:rFonts w:hint="eastAsia"/>
          <w:b/>
          <w:bCs/>
        </w:rPr>
        <w:t>一、待检测样本类型：大鼠骨髓。</w:t>
      </w:r>
    </w:p>
    <w:p w:rsidR="008D4AD2" w:rsidRDefault="008D4AD2" w:rsidP="008D4AD2">
      <w:pPr>
        <w:ind w:firstLineChars="200" w:firstLine="422"/>
        <w:rPr>
          <w:b/>
          <w:bCs/>
        </w:rPr>
      </w:pPr>
      <w:r>
        <w:rPr>
          <w:rFonts w:hint="eastAsia"/>
          <w:b/>
          <w:bCs/>
        </w:rPr>
        <w:t>样品预处理：分选技术二选一</w:t>
      </w:r>
    </w:p>
    <w:p w:rsidR="008D4AD2" w:rsidRDefault="008D4AD2" w:rsidP="008D4AD2">
      <w:r>
        <w:rPr>
          <w:rFonts w:hint="eastAsia"/>
        </w:rPr>
        <w:t>1.</w:t>
      </w:r>
      <w:r>
        <w:t>流式分选</w:t>
      </w:r>
      <w:r w:rsidR="00322837">
        <w:t>法</w:t>
      </w:r>
      <w:r>
        <w:t>：从骨髓样本中通过流式分选获取</w:t>
      </w:r>
      <w:r>
        <w:t>CD45</w:t>
      </w:r>
      <w:r>
        <w:t>阴性细胞进行单细胞转录组分析</w:t>
      </w:r>
      <w:r>
        <w:rPr>
          <w:rFonts w:hint="eastAsia"/>
        </w:rPr>
        <w:t>。</w:t>
      </w:r>
      <w:r>
        <w:br/>
      </w:r>
      <w:r>
        <w:rPr>
          <w:rFonts w:hint="eastAsia"/>
        </w:rPr>
        <w:t>2.</w:t>
      </w:r>
      <w:r>
        <w:t>磁珠分选</w:t>
      </w:r>
      <w:r w:rsidR="00322837">
        <w:t>法：</w:t>
      </w:r>
      <w:r>
        <w:t>从骨髓样本中分选</w:t>
      </w:r>
      <w:r>
        <w:t>CD45</w:t>
      </w:r>
      <w:r>
        <w:t>阴性细胞进行单细胞转录组分析</w:t>
      </w:r>
      <w:r>
        <w:rPr>
          <w:rFonts w:hint="eastAsia"/>
        </w:rPr>
        <w:t>。</w:t>
      </w:r>
    </w:p>
    <w:p w:rsidR="00EA4FB5" w:rsidRDefault="00576B3B">
      <w:pPr>
        <w:rPr>
          <w:b/>
          <w:bCs/>
        </w:rPr>
      </w:pPr>
      <w:r>
        <w:rPr>
          <w:rFonts w:hint="eastAsia"/>
          <w:b/>
          <w:bCs/>
        </w:rPr>
        <w:t>二、实验标准：</w:t>
      </w:r>
    </w:p>
    <w:p w:rsidR="00EA4FB5" w:rsidRDefault="00576B3B">
      <w:pPr>
        <w:ind w:firstLineChars="200" w:firstLine="420"/>
      </w:pPr>
      <w:r>
        <w:rPr>
          <w:rFonts w:hint="eastAsia"/>
        </w:rPr>
        <w:t>（</w:t>
      </w:r>
      <w:r>
        <w:rPr>
          <w:rFonts w:hint="eastAsia"/>
        </w:rPr>
        <w:t xml:space="preserve">1) </w:t>
      </w:r>
      <w:r>
        <w:rPr>
          <w:rFonts w:hint="eastAsia"/>
        </w:rPr>
        <w:t>组织解离要求：细胞活性＞</w:t>
      </w:r>
      <w:r>
        <w:rPr>
          <w:rFonts w:hint="eastAsia"/>
        </w:rPr>
        <w:t>85%(</w:t>
      </w:r>
      <w:r>
        <w:rPr>
          <w:rFonts w:hint="eastAsia"/>
        </w:rPr>
        <w:t>如抽取细胞核，该指标＜</w:t>
      </w:r>
      <w:r>
        <w:rPr>
          <w:rFonts w:hint="eastAsia"/>
        </w:rPr>
        <w:t>5%)</w:t>
      </w:r>
      <w:r>
        <w:rPr>
          <w:rFonts w:hint="eastAsia"/>
        </w:rPr>
        <w:t>，结团率＜</w:t>
      </w:r>
      <w:r>
        <w:rPr>
          <w:rFonts w:hint="eastAsia"/>
        </w:rPr>
        <w:t>10%</w:t>
      </w:r>
      <w:r>
        <w:rPr>
          <w:rFonts w:hint="eastAsia"/>
        </w:rPr>
        <w:t>，细胞浓度范围为</w:t>
      </w:r>
      <w:r>
        <w:rPr>
          <w:rFonts w:hint="eastAsia"/>
        </w:rPr>
        <w:t>700~1200cells/</w:t>
      </w:r>
      <w:r>
        <w:rPr>
          <w:rFonts w:hint="eastAsia"/>
        </w:rPr>
        <w:t>μ</w:t>
      </w:r>
      <w:r>
        <w:rPr>
          <w:rFonts w:hint="eastAsia"/>
        </w:rPr>
        <w:t>L</w:t>
      </w:r>
      <w:r>
        <w:rPr>
          <w:rFonts w:hint="eastAsia"/>
        </w:rPr>
        <w:t>，细胞直径范围＜</w:t>
      </w:r>
      <w:r>
        <w:rPr>
          <w:rFonts w:hint="eastAsia"/>
        </w:rPr>
        <w:t>40</w:t>
      </w:r>
      <w:r>
        <w:rPr>
          <w:rFonts w:hint="eastAsia"/>
        </w:rPr>
        <w:t>μ</w:t>
      </w:r>
      <w:r>
        <w:rPr>
          <w:rFonts w:hint="eastAsia"/>
        </w:rPr>
        <w:t>m</w:t>
      </w:r>
      <w:r>
        <w:rPr>
          <w:rFonts w:hint="eastAsia"/>
        </w:rPr>
        <w:t>，有核率＞</w:t>
      </w:r>
      <w:r>
        <w:rPr>
          <w:rFonts w:hint="eastAsia"/>
        </w:rPr>
        <w:t>70%</w:t>
      </w:r>
      <w:r>
        <w:rPr>
          <w:rFonts w:hint="eastAsia"/>
        </w:rPr>
        <w:t>。</w:t>
      </w:r>
    </w:p>
    <w:p w:rsidR="00EA4FB5" w:rsidRDefault="00576B3B">
      <w:pPr>
        <w:ind w:firstLineChars="200" w:firstLine="420"/>
      </w:pPr>
      <w:r>
        <w:rPr>
          <w:rFonts w:hint="eastAsia"/>
        </w:rPr>
        <w:t>（</w:t>
      </w:r>
      <w:r>
        <w:rPr>
          <w:rFonts w:hint="eastAsia"/>
        </w:rPr>
        <w:t>2</w:t>
      </w:r>
      <w:r>
        <w:rPr>
          <w:rFonts w:hint="eastAsia"/>
        </w:rPr>
        <w:t>）数据产出质量和数量要求：单细胞转录组测序数据量大于</w:t>
      </w:r>
      <w:r>
        <w:rPr>
          <w:rFonts w:hint="eastAsia"/>
        </w:rPr>
        <w:t>90G</w:t>
      </w:r>
      <w:r>
        <w:rPr>
          <w:rFonts w:hint="eastAsia"/>
        </w:rPr>
        <w:t>，</w:t>
      </w:r>
      <w:r>
        <w:rPr>
          <w:rFonts w:hint="eastAsia"/>
        </w:rPr>
        <w:t>Q30</w:t>
      </w:r>
      <w:r>
        <w:rPr>
          <w:rFonts w:hint="eastAsia"/>
        </w:rPr>
        <w:t>＞</w:t>
      </w:r>
      <w:r>
        <w:rPr>
          <w:rFonts w:hint="eastAsia"/>
        </w:rPr>
        <w:t>85</w:t>
      </w:r>
      <w:r>
        <w:rPr>
          <w:rFonts w:hint="eastAsia"/>
        </w:rPr>
        <w:t>％，测序数据基因组比对率≥</w:t>
      </w:r>
      <w:r>
        <w:rPr>
          <w:rFonts w:hint="eastAsia"/>
        </w:rPr>
        <w:t>85%</w:t>
      </w:r>
      <w:r>
        <w:rPr>
          <w:rFonts w:hint="eastAsia"/>
        </w:rPr>
        <w:t>，细胞平均</w:t>
      </w:r>
      <w:r>
        <w:rPr>
          <w:rFonts w:hint="eastAsia"/>
        </w:rPr>
        <w:t>reads</w:t>
      </w:r>
      <w:r>
        <w:rPr>
          <w:rFonts w:hint="eastAsia"/>
        </w:rPr>
        <w:t>＞</w:t>
      </w:r>
      <w:r>
        <w:rPr>
          <w:rFonts w:hint="eastAsia"/>
        </w:rPr>
        <w:t>20k</w:t>
      </w:r>
      <w:r>
        <w:rPr>
          <w:rFonts w:hint="eastAsia"/>
        </w:rPr>
        <w:t>。</w:t>
      </w:r>
    </w:p>
    <w:p w:rsidR="00EA4FB5" w:rsidRDefault="00576B3B">
      <w:pPr>
        <w:ind w:firstLineChars="200" w:firstLine="420"/>
      </w:pPr>
      <w:r>
        <w:rPr>
          <w:rFonts w:hint="eastAsia"/>
        </w:rPr>
        <w:t>（</w:t>
      </w:r>
      <w:r>
        <w:rPr>
          <w:rFonts w:hint="eastAsia"/>
        </w:rPr>
        <w:t>3</w:t>
      </w:r>
      <w:r>
        <w:rPr>
          <w:rFonts w:hint="eastAsia"/>
        </w:rPr>
        <w:t>）平台要求：包括</w:t>
      </w:r>
      <w:r>
        <w:rPr>
          <w:rFonts w:hint="eastAsia"/>
        </w:rPr>
        <w:t>10X Genomics Chromium Controller</w:t>
      </w:r>
      <w:r>
        <w:rPr>
          <w:rFonts w:hint="eastAsia"/>
        </w:rPr>
        <w:t>仪器、</w:t>
      </w:r>
      <w:r>
        <w:rPr>
          <w:rFonts w:hint="eastAsia"/>
        </w:rPr>
        <w:t>10x Genomics Chromium X</w:t>
      </w:r>
      <w:r>
        <w:rPr>
          <w:rFonts w:hint="eastAsia"/>
        </w:rPr>
        <w:t>仪器、</w:t>
      </w:r>
      <w:r>
        <w:rPr>
          <w:rFonts w:hint="eastAsia"/>
        </w:rPr>
        <w:t xml:space="preserve">Countstar Rigel S2 </w:t>
      </w:r>
      <w:r>
        <w:rPr>
          <w:rFonts w:hint="eastAsia"/>
        </w:rPr>
        <w:t>智能细胞分析仪、</w:t>
      </w:r>
      <w:r>
        <w:rPr>
          <w:rFonts w:hint="eastAsia"/>
        </w:rPr>
        <w:t>Illumina NovaSeq X plus</w:t>
      </w:r>
      <w:r>
        <w:rPr>
          <w:rFonts w:hint="eastAsia"/>
        </w:rPr>
        <w:t>测序仪。</w:t>
      </w:r>
    </w:p>
    <w:p w:rsidR="00EA4FB5" w:rsidRDefault="00576B3B">
      <w:pPr>
        <w:rPr>
          <w:b/>
          <w:bCs/>
        </w:rPr>
      </w:pPr>
      <w:r>
        <w:rPr>
          <w:rFonts w:hint="eastAsia"/>
          <w:b/>
          <w:bCs/>
        </w:rPr>
        <w:t>三、分析标准：</w:t>
      </w:r>
    </w:p>
    <w:p w:rsidR="00EA4FB5" w:rsidRDefault="00576B3B">
      <w:pPr>
        <w:ind w:firstLineChars="200" w:firstLine="420"/>
      </w:pPr>
      <w:r>
        <w:rPr>
          <w:rFonts w:hint="eastAsia"/>
        </w:rPr>
        <w:t>（</w:t>
      </w:r>
      <w:r>
        <w:rPr>
          <w:rFonts w:hint="eastAsia"/>
        </w:rPr>
        <w:t>1</w:t>
      </w:r>
      <w:r>
        <w:rPr>
          <w:rFonts w:hint="eastAsia"/>
        </w:rPr>
        <w:t>）单细胞亚群分类与分类结果可视化；</w:t>
      </w:r>
    </w:p>
    <w:p w:rsidR="00EA4FB5" w:rsidRDefault="00576B3B">
      <w:pPr>
        <w:ind w:firstLineChars="200" w:firstLine="420"/>
      </w:pPr>
      <w:r>
        <w:rPr>
          <w:rFonts w:hint="eastAsia"/>
        </w:rPr>
        <w:t>（</w:t>
      </w:r>
      <w:r>
        <w:rPr>
          <w:rFonts w:hint="eastAsia"/>
        </w:rPr>
        <w:t>2</w:t>
      </w:r>
      <w:r>
        <w:rPr>
          <w:rFonts w:hint="eastAsia"/>
        </w:rPr>
        <w:t>）样本</w:t>
      </w:r>
      <w:r>
        <w:rPr>
          <w:rFonts w:hint="eastAsia"/>
        </w:rPr>
        <w:t>/Cluster</w:t>
      </w:r>
      <w:r>
        <w:rPr>
          <w:rFonts w:hint="eastAsia"/>
        </w:rPr>
        <w:t>细胞构成比例分析；</w:t>
      </w:r>
    </w:p>
    <w:p w:rsidR="00EA4FB5" w:rsidRDefault="00576B3B">
      <w:pPr>
        <w:ind w:firstLineChars="200" w:firstLine="420"/>
      </w:pPr>
      <w:r>
        <w:rPr>
          <w:rFonts w:hint="eastAsia"/>
        </w:rPr>
        <w:t>（</w:t>
      </w:r>
      <w:r>
        <w:rPr>
          <w:rFonts w:hint="eastAsia"/>
        </w:rPr>
        <w:t>3</w:t>
      </w:r>
      <w:r>
        <w:rPr>
          <w:rFonts w:hint="eastAsia"/>
        </w:rPr>
        <w:t>）细胞类型定义；</w:t>
      </w:r>
    </w:p>
    <w:p w:rsidR="00EA4FB5" w:rsidRDefault="00576B3B">
      <w:pPr>
        <w:ind w:firstLineChars="200" w:firstLine="420"/>
      </w:pPr>
      <w:r>
        <w:rPr>
          <w:rFonts w:hint="eastAsia"/>
        </w:rPr>
        <w:t>（</w:t>
      </w:r>
      <w:r>
        <w:rPr>
          <w:rFonts w:hint="eastAsia"/>
        </w:rPr>
        <w:t>4</w:t>
      </w:r>
      <w:r>
        <w:rPr>
          <w:rFonts w:hint="eastAsia"/>
        </w:rPr>
        <w:t>）</w:t>
      </w:r>
      <w:r>
        <w:rPr>
          <w:rFonts w:hint="eastAsia"/>
        </w:rPr>
        <w:t>Marker</w:t>
      </w:r>
      <w:r>
        <w:rPr>
          <w:rFonts w:hint="eastAsia"/>
        </w:rPr>
        <w:t>基因分析及展示；</w:t>
      </w:r>
    </w:p>
    <w:p w:rsidR="00EA4FB5" w:rsidRDefault="00576B3B">
      <w:pPr>
        <w:ind w:firstLineChars="200" w:firstLine="420"/>
      </w:pPr>
      <w:r>
        <w:rPr>
          <w:rFonts w:hint="eastAsia"/>
        </w:rPr>
        <w:t>（</w:t>
      </w:r>
      <w:r>
        <w:rPr>
          <w:rFonts w:hint="eastAsia"/>
        </w:rPr>
        <w:t>5</w:t>
      </w:r>
      <w:r>
        <w:rPr>
          <w:rFonts w:hint="eastAsia"/>
        </w:rPr>
        <w:t>）功能富集分析；</w:t>
      </w:r>
    </w:p>
    <w:p w:rsidR="00EA4FB5" w:rsidRDefault="00576B3B">
      <w:pPr>
        <w:ind w:firstLineChars="200" w:firstLine="420"/>
      </w:pPr>
      <w:r>
        <w:rPr>
          <w:rFonts w:hint="eastAsia"/>
        </w:rPr>
        <w:t>（</w:t>
      </w:r>
      <w:r>
        <w:rPr>
          <w:rFonts w:hint="eastAsia"/>
        </w:rPr>
        <w:t>6</w:t>
      </w:r>
      <w:r>
        <w:rPr>
          <w:rFonts w:hint="eastAsia"/>
        </w:rPr>
        <w:t>）目标细胞亚群细分，细胞亚群降维聚类分析，亚群特征基因分析，亚群注释分析；</w:t>
      </w:r>
    </w:p>
    <w:p w:rsidR="00EA4FB5" w:rsidRDefault="00576B3B">
      <w:pPr>
        <w:ind w:firstLineChars="200" w:firstLine="420"/>
      </w:pPr>
      <w:r>
        <w:rPr>
          <w:rFonts w:hint="eastAsia"/>
        </w:rPr>
        <w:t>（</w:t>
      </w:r>
      <w:r>
        <w:rPr>
          <w:rFonts w:hint="eastAsia"/>
        </w:rPr>
        <w:t>7</w:t>
      </w:r>
      <w:r>
        <w:rPr>
          <w:rFonts w:hint="eastAsia"/>
        </w:rPr>
        <w:t>）</w:t>
      </w:r>
      <w:r>
        <w:rPr>
          <w:rFonts w:hint="eastAsia"/>
        </w:rPr>
        <w:t>Monocle2</w:t>
      </w:r>
      <w:r>
        <w:rPr>
          <w:rFonts w:hint="eastAsia"/>
        </w:rPr>
        <w:t>拟时序分析；</w:t>
      </w:r>
    </w:p>
    <w:p w:rsidR="00EA4FB5" w:rsidRDefault="00576B3B">
      <w:pPr>
        <w:ind w:firstLineChars="200" w:firstLine="420"/>
      </w:pPr>
      <w:r>
        <w:rPr>
          <w:rFonts w:hint="eastAsia"/>
        </w:rPr>
        <w:t>（</w:t>
      </w:r>
      <w:r>
        <w:rPr>
          <w:rFonts w:hint="eastAsia"/>
        </w:rPr>
        <w:t>8</w:t>
      </w:r>
      <w:r>
        <w:rPr>
          <w:rFonts w:hint="eastAsia"/>
        </w:rPr>
        <w:t>）具备单细胞个性化分析能力，包括</w:t>
      </w:r>
      <w:r>
        <w:rPr>
          <w:rFonts w:hint="eastAsia"/>
        </w:rPr>
        <w:t>Monocle3</w:t>
      </w:r>
      <w:r>
        <w:rPr>
          <w:rFonts w:hint="eastAsia"/>
        </w:rPr>
        <w:t>拟时序分析，</w:t>
      </w:r>
      <w:r>
        <w:rPr>
          <w:rFonts w:hint="eastAsia"/>
        </w:rPr>
        <w:t>RNA</w:t>
      </w:r>
      <w:r>
        <w:rPr>
          <w:rFonts w:hint="eastAsia"/>
        </w:rPr>
        <w:t>速率分析，细胞通讯分析，</w:t>
      </w:r>
      <w:r>
        <w:rPr>
          <w:rFonts w:hint="eastAsia"/>
        </w:rPr>
        <w:t>WGCNA</w:t>
      </w:r>
      <w:r>
        <w:rPr>
          <w:rFonts w:hint="eastAsia"/>
        </w:rPr>
        <w:t>分析，</w:t>
      </w:r>
      <w:r>
        <w:rPr>
          <w:rFonts w:hint="eastAsia"/>
        </w:rPr>
        <w:t>SCINIC</w:t>
      </w:r>
      <w:r>
        <w:rPr>
          <w:rFonts w:hint="eastAsia"/>
        </w:rPr>
        <w:t>转录因子分析，单细胞</w:t>
      </w:r>
      <w:r>
        <w:rPr>
          <w:rFonts w:hint="eastAsia"/>
        </w:rPr>
        <w:t>CNV</w:t>
      </w:r>
      <w:r>
        <w:rPr>
          <w:rFonts w:hint="eastAsia"/>
        </w:rPr>
        <w:t>分析等。</w:t>
      </w:r>
    </w:p>
    <w:p w:rsidR="00EA4FB5" w:rsidRDefault="00576B3B">
      <w:pPr>
        <w:rPr>
          <w:b/>
          <w:bCs/>
        </w:rPr>
      </w:pPr>
      <w:r>
        <w:rPr>
          <w:rFonts w:hint="eastAsia"/>
          <w:b/>
          <w:bCs/>
        </w:rPr>
        <w:t>四、单细胞数据</w:t>
      </w:r>
      <w:r>
        <w:rPr>
          <w:rFonts w:hint="eastAsia"/>
          <w:b/>
          <w:bCs/>
        </w:rPr>
        <w:t>+</w:t>
      </w:r>
      <w:r>
        <w:rPr>
          <w:rFonts w:hint="eastAsia"/>
          <w:b/>
          <w:bCs/>
        </w:rPr>
        <w:t>血液代谢关联分析</w:t>
      </w:r>
    </w:p>
    <w:p w:rsidR="00EA4FB5" w:rsidRDefault="00576B3B">
      <w:pPr>
        <w:numPr>
          <w:ilvl w:val="0"/>
          <w:numId w:val="1"/>
        </w:numPr>
        <w:ind w:firstLineChars="200" w:firstLine="420"/>
      </w:pPr>
      <w:r>
        <w:rPr>
          <w:rFonts w:hint="eastAsia"/>
        </w:rPr>
        <w:t>MEBOCOST</w:t>
      </w:r>
      <w:r>
        <w:rPr>
          <w:rFonts w:hint="eastAsia"/>
        </w:rPr>
        <w:t>方法</w:t>
      </w:r>
    </w:p>
    <w:p w:rsidR="00EA4FB5" w:rsidRDefault="00576B3B">
      <w:pPr>
        <w:ind w:firstLineChars="200" w:firstLine="420"/>
      </w:pPr>
      <w:r>
        <w:t>通过转录组数据和已知的代谢物数据库来预测代谢物在细胞中的存在，并结合不同代谢物的感受器在细胞中的表达量来预测不同细胞群之间的细胞通讯。</w:t>
      </w:r>
      <w:r>
        <w:rPr>
          <w:rFonts w:hint="eastAsia"/>
        </w:rPr>
        <w:t>核心结果以细胞通讯</w:t>
      </w:r>
      <w:r>
        <w:rPr>
          <w:rFonts w:hint="eastAsia"/>
        </w:rPr>
        <w:t>circle</w:t>
      </w:r>
      <w:r>
        <w:rPr>
          <w:rFonts w:hint="eastAsia"/>
        </w:rPr>
        <w:t>图、细胞通讯气泡图、发送与接收代谢物两两细胞间通讯气泡图展示。</w:t>
      </w:r>
    </w:p>
    <w:p w:rsidR="00EA4FB5" w:rsidRDefault="00576B3B">
      <w:pPr>
        <w:numPr>
          <w:ilvl w:val="0"/>
          <w:numId w:val="1"/>
        </w:numPr>
        <w:ind w:firstLineChars="200" w:firstLine="420"/>
      </w:pPr>
      <w:r>
        <w:t>scMetabolism</w:t>
      </w:r>
      <w:r>
        <w:t>方法</w:t>
      </w:r>
      <w:r>
        <w:t xml:space="preserve"> </w:t>
      </w:r>
    </w:p>
    <w:p w:rsidR="00EA4FB5" w:rsidRDefault="00576B3B">
      <w:pPr>
        <w:ind w:firstLineChars="200" w:firstLine="420"/>
      </w:pPr>
      <w:r>
        <w:t>使用单细胞数据，对</w:t>
      </w:r>
      <w:r>
        <w:t>KEGG/Reactome</w:t>
      </w:r>
      <w:r>
        <w:t>代谢通路的基因集进行富集打分。富集方法可选</w:t>
      </w:r>
      <w:r>
        <w:t>VISION, AUCell, ssgsea, gsva 4</w:t>
      </w:r>
      <w:r>
        <w:t>种，默认</w:t>
      </w:r>
      <w:r>
        <w:t>VISION</w:t>
      </w:r>
      <w:r>
        <w:t>。</w:t>
      </w:r>
      <w:r>
        <w:rPr>
          <w:rFonts w:hint="eastAsia"/>
        </w:rPr>
        <w:t>核心结果以指定通路的打分点图、指定部分通路的打分气泡图、指定通路打分的箱线图展示。</w:t>
      </w:r>
    </w:p>
    <w:p w:rsidR="00EA4FB5" w:rsidRDefault="00576B3B">
      <w:r>
        <w:rPr>
          <w:rFonts w:hint="eastAsia"/>
          <w:b/>
          <w:bCs/>
        </w:rPr>
        <w:t>五、项目周期：</w:t>
      </w:r>
      <w:r>
        <w:rPr>
          <w:rFonts w:hint="eastAsia"/>
        </w:rPr>
        <w:t>样本服务周期不超过</w:t>
      </w:r>
      <w:r>
        <w:rPr>
          <w:rFonts w:hint="eastAsia"/>
        </w:rPr>
        <w:t>25</w:t>
      </w:r>
      <w:r>
        <w:rPr>
          <w:rFonts w:hint="eastAsia"/>
        </w:rPr>
        <w:t>个工作日。</w:t>
      </w:r>
    </w:p>
    <w:p w:rsidR="00EA4FB5" w:rsidRDefault="00576B3B">
      <w:pPr>
        <w:rPr>
          <w:rFonts w:eastAsia="宋体"/>
        </w:rPr>
      </w:pPr>
      <w:r>
        <w:rPr>
          <w:rFonts w:hint="eastAsia"/>
          <w:b/>
          <w:bCs/>
        </w:rPr>
        <w:t>六、项目结果交付形式</w:t>
      </w:r>
      <w:r>
        <w:rPr>
          <w:rFonts w:hint="eastAsia"/>
        </w:rPr>
        <w:t>：</w:t>
      </w:r>
      <w:r>
        <w:rPr>
          <w:rFonts w:hint="eastAsia"/>
        </w:rPr>
        <w:t>HTML+</w:t>
      </w:r>
      <w:r>
        <w:rPr>
          <w:rFonts w:hint="eastAsia"/>
        </w:rPr>
        <w:t>交互式云平台</w:t>
      </w:r>
      <w:r>
        <w:rPr>
          <w:rFonts w:hint="eastAsia"/>
        </w:rPr>
        <w:t>+PDF</w:t>
      </w:r>
      <w:r>
        <w:rPr>
          <w:rFonts w:hint="eastAsia"/>
        </w:rPr>
        <w:t>静态</w:t>
      </w:r>
      <w:r>
        <w:rPr>
          <w:rFonts w:hint="eastAsia"/>
        </w:rPr>
        <w:t>(</w:t>
      </w:r>
      <w:r>
        <w:rPr>
          <w:rFonts w:hint="eastAsia"/>
        </w:rPr>
        <w:t>交互结果可插入报告</w:t>
      </w:r>
      <w:r>
        <w:rPr>
          <w:rFonts w:hint="eastAsia"/>
        </w:rPr>
        <w:t>)</w:t>
      </w:r>
      <w:r>
        <w:rPr>
          <w:rFonts w:hint="eastAsia"/>
        </w:rPr>
        <w:t>。</w:t>
      </w:r>
    </w:p>
    <w:p w:rsidR="00EA4FB5" w:rsidRDefault="00576B3B">
      <w:r>
        <w:rPr>
          <w:rFonts w:hint="eastAsia"/>
          <w:b/>
          <w:bCs/>
        </w:rPr>
        <w:t>七、云平台要求</w:t>
      </w:r>
      <w:r>
        <w:rPr>
          <w:rFonts w:hint="eastAsia"/>
        </w:rPr>
        <w:t>：能够提供高级单细胞转录组云分析流程，云平台必须拥有完善的资料体系，综述、</w:t>
      </w:r>
      <w:r>
        <w:rPr>
          <w:rFonts w:hint="eastAsia"/>
        </w:rPr>
        <w:t>FAQ</w:t>
      </w:r>
      <w:r>
        <w:rPr>
          <w:rFonts w:hint="eastAsia"/>
        </w:rPr>
        <w:t>、文献案例解析、视频教程、分析</w:t>
      </w:r>
      <w:r>
        <w:rPr>
          <w:rFonts w:hint="eastAsia"/>
        </w:rPr>
        <w:t>Tips</w:t>
      </w:r>
      <w:r>
        <w:rPr>
          <w:rFonts w:hint="eastAsia"/>
        </w:rPr>
        <w:t>五位一体；可在线自主设置参数动态交互分析，分析呈图标准化，符合</w:t>
      </w:r>
      <w:r>
        <w:rPr>
          <w:rFonts w:hint="eastAsia"/>
        </w:rPr>
        <w:t>CNS</w:t>
      </w:r>
      <w:r>
        <w:rPr>
          <w:rFonts w:hint="eastAsia"/>
        </w:rPr>
        <w:t>期刊要求；能够提供</w:t>
      </w:r>
      <w:r>
        <w:rPr>
          <w:rFonts w:hint="eastAsia"/>
        </w:rPr>
        <w:t>400+</w:t>
      </w:r>
      <w:r>
        <w:rPr>
          <w:rFonts w:hint="eastAsia"/>
        </w:rPr>
        <w:t>款的小工具助力科研。</w:t>
      </w:r>
    </w:p>
    <w:p w:rsidR="00EA4FB5" w:rsidRDefault="00991D38">
      <w:r>
        <w:rPr>
          <w:rFonts w:hint="eastAsia"/>
          <w:b/>
          <w:bCs/>
        </w:rPr>
        <w:t>八</w:t>
      </w:r>
      <w:r w:rsidR="00576B3B">
        <w:rPr>
          <w:rFonts w:hint="eastAsia"/>
          <w:b/>
          <w:bCs/>
        </w:rPr>
        <w:t>、增值服务：</w:t>
      </w:r>
      <w:r w:rsidRPr="00991D38">
        <w:rPr>
          <w:rFonts w:hint="eastAsia"/>
        </w:rPr>
        <w:t>需要额外赠送采购方单细胞数据及血液非靶代谢数据关联分析服务、且本项目的售后服务需满足采购方文章发表等技术问题。</w:t>
      </w:r>
    </w:p>
    <w:p w:rsidR="00EA4FB5" w:rsidRDefault="00EA4FB5">
      <w:pPr>
        <w:spacing w:line="560" w:lineRule="exact"/>
        <w:rPr>
          <w:rFonts w:ascii="宋体" w:eastAsia="宋体" w:hAnsi="宋体" w:cs="宋体"/>
          <w:b/>
          <w:bCs/>
          <w:sz w:val="28"/>
          <w:szCs w:val="28"/>
        </w:rPr>
      </w:pPr>
    </w:p>
    <w:sectPr w:rsidR="00EA4FB5">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8D" w:rsidRDefault="006F288D"/>
  </w:endnote>
  <w:endnote w:type="continuationSeparator" w:id="0">
    <w:p w:rsidR="006F288D" w:rsidRDefault="006F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8D" w:rsidRDefault="006F288D"/>
  </w:footnote>
  <w:footnote w:type="continuationSeparator" w:id="0">
    <w:p w:rsidR="006F288D" w:rsidRDefault="006F28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BA7669"/>
    <w:multiLevelType w:val="singleLevel"/>
    <w:tmpl w:val="F9BA766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NTE2MjkyMDA1Njc2MjI4NmNiNGM4YmY4YjU3NzEifQ=="/>
  </w:docVars>
  <w:rsids>
    <w:rsidRoot w:val="3E47749C"/>
    <w:rsid w:val="00075F9B"/>
    <w:rsid w:val="000A3305"/>
    <w:rsid w:val="000D3626"/>
    <w:rsid w:val="0010089F"/>
    <w:rsid w:val="00110312"/>
    <w:rsid w:val="00130E89"/>
    <w:rsid w:val="001338F3"/>
    <w:rsid w:val="00156362"/>
    <w:rsid w:val="00160166"/>
    <w:rsid w:val="001778E9"/>
    <w:rsid w:val="001D5EEB"/>
    <w:rsid w:val="001E64D2"/>
    <w:rsid w:val="001E6B37"/>
    <w:rsid w:val="001F01A1"/>
    <w:rsid w:val="002317E3"/>
    <w:rsid w:val="00260AD8"/>
    <w:rsid w:val="002829AB"/>
    <w:rsid w:val="002864CF"/>
    <w:rsid w:val="002D4181"/>
    <w:rsid w:val="00316B71"/>
    <w:rsid w:val="00322837"/>
    <w:rsid w:val="00333507"/>
    <w:rsid w:val="00357CFF"/>
    <w:rsid w:val="00384A24"/>
    <w:rsid w:val="003A5BCA"/>
    <w:rsid w:val="003C502E"/>
    <w:rsid w:val="003E6408"/>
    <w:rsid w:val="003F35E6"/>
    <w:rsid w:val="00406A55"/>
    <w:rsid w:val="00431260"/>
    <w:rsid w:val="004631A8"/>
    <w:rsid w:val="0047447C"/>
    <w:rsid w:val="00483AAA"/>
    <w:rsid w:val="004F17AE"/>
    <w:rsid w:val="004F2FB9"/>
    <w:rsid w:val="005147AA"/>
    <w:rsid w:val="00566D81"/>
    <w:rsid w:val="00576B3B"/>
    <w:rsid w:val="005D33D9"/>
    <w:rsid w:val="005E02AC"/>
    <w:rsid w:val="006667B2"/>
    <w:rsid w:val="00676BA6"/>
    <w:rsid w:val="006860EA"/>
    <w:rsid w:val="006B6DC1"/>
    <w:rsid w:val="006C68BA"/>
    <w:rsid w:val="006D750B"/>
    <w:rsid w:val="006F288D"/>
    <w:rsid w:val="0071046C"/>
    <w:rsid w:val="007842FD"/>
    <w:rsid w:val="007A56A0"/>
    <w:rsid w:val="007C7843"/>
    <w:rsid w:val="007E5BD8"/>
    <w:rsid w:val="0082172E"/>
    <w:rsid w:val="00822CC9"/>
    <w:rsid w:val="00830A42"/>
    <w:rsid w:val="0086283D"/>
    <w:rsid w:val="00894875"/>
    <w:rsid w:val="008D1F28"/>
    <w:rsid w:val="008D2500"/>
    <w:rsid w:val="008D4AD2"/>
    <w:rsid w:val="00933977"/>
    <w:rsid w:val="00942502"/>
    <w:rsid w:val="00954290"/>
    <w:rsid w:val="00986F7A"/>
    <w:rsid w:val="00991D38"/>
    <w:rsid w:val="009B0D0A"/>
    <w:rsid w:val="009C4DB1"/>
    <w:rsid w:val="009F0E3F"/>
    <w:rsid w:val="009F19A2"/>
    <w:rsid w:val="00A22AA1"/>
    <w:rsid w:val="00AC37DF"/>
    <w:rsid w:val="00AF2230"/>
    <w:rsid w:val="00AF7942"/>
    <w:rsid w:val="00B01035"/>
    <w:rsid w:val="00B147A0"/>
    <w:rsid w:val="00B4283C"/>
    <w:rsid w:val="00B71A88"/>
    <w:rsid w:val="00B72015"/>
    <w:rsid w:val="00B91766"/>
    <w:rsid w:val="00BA6EDF"/>
    <w:rsid w:val="00BB60B8"/>
    <w:rsid w:val="00BF4327"/>
    <w:rsid w:val="00BF4687"/>
    <w:rsid w:val="00BF6F63"/>
    <w:rsid w:val="00C00084"/>
    <w:rsid w:val="00C03F14"/>
    <w:rsid w:val="00C12285"/>
    <w:rsid w:val="00C629E9"/>
    <w:rsid w:val="00CA34BF"/>
    <w:rsid w:val="00CB5101"/>
    <w:rsid w:val="00CE085C"/>
    <w:rsid w:val="00CF47AB"/>
    <w:rsid w:val="00D16433"/>
    <w:rsid w:val="00D8669E"/>
    <w:rsid w:val="00DA36E2"/>
    <w:rsid w:val="00DE10C9"/>
    <w:rsid w:val="00DF6892"/>
    <w:rsid w:val="00E34CB5"/>
    <w:rsid w:val="00E57059"/>
    <w:rsid w:val="00EA1738"/>
    <w:rsid w:val="00EA4FB5"/>
    <w:rsid w:val="00EF3958"/>
    <w:rsid w:val="00F05F20"/>
    <w:rsid w:val="00F16BE9"/>
    <w:rsid w:val="00F319B2"/>
    <w:rsid w:val="00F77A34"/>
    <w:rsid w:val="00F96EEC"/>
    <w:rsid w:val="0B12663B"/>
    <w:rsid w:val="0F8F3068"/>
    <w:rsid w:val="191E4E1F"/>
    <w:rsid w:val="1A6D7B5F"/>
    <w:rsid w:val="1E3458B5"/>
    <w:rsid w:val="20745325"/>
    <w:rsid w:val="22634EDC"/>
    <w:rsid w:val="236D21F4"/>
    <w:rsid w:val="25A953B7"/>
    <w:rsid w:val="26E52AD8"/>
    <w:rsid w:val="27C84468"/>
    <w:rsid w:val="2E0B73D7"/>
    <w:rsid w:val="30B05EE1"/>
    <w:rsid w:val="30B25935"/>
    <w:rsid w:val="3E47749C"/>
    <w:rsid w:val="468E5930"/>
    <w:rsid w:val="48500777"/>
    <w:rsid w:val="485D651B"/>
    <w:rsid w:val="48DB6A25"/>
    <w:rsid w:val="4EE4720A"/>
    <w:rsid w:val="4FDC68BF"/>
    <w:rsid w:val="54CF04B5"/>
    <w:rsid w:val="5D3466DE"/>
    <w:rsid w:val="667A42E2"/>
    <w:rsid w:val="67112E9A"/>
    <w:rsid w:val="74EC0AFF"/>
    <w:rsid w:val="76A82B4E"/>
    <w:rsid w:val="7F061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EA7F8E-A458-42A6-AF1B-AFE1AB22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8">
    <w:name w:val="List Paragraph"/>
    <w:basedOn w:val="a"/>
    <w:uiPriority w:val="99"/>
    <w:qFormat/>
    <w:pPr>
      <w:ind w:firstLineChars="200" w:firstLine="420"/>
    </w:pPr>
  </w:style>
  <w:style w:type="character" w:customStyle="1" w:styleId="Char">
    <w:name w:val="文档结构图 Char"/>
    <w:basedOn w:val="a0"/>
    <w:link w:val="a3"/>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9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William</cp:lastModifiedBy>
  <cp:revision>12</cp:revision>
  <dcterms:created xsi:type="dcterms:W3CDTF">2024-09-27T02:08:00Z</dcterms:created>
  <dcterms:modified xsi:type="dcterms:W3CDTF">2024-10-10T01:08:00Z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7F29F3C20B89466BBFA10F75CF706747_13</vt:lpwstr>
  </property>
</Properties>
</file>